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#425 (c1)</w:t>
      </w:r>
    </w:p>
    <w:p>
      <w:r>
        <w:t xml:space="preserve">Prompt: </w:t>
      </w:r>
    </w:p>
    <w:p>
      <w:r>
        <w:t>--------------------</w:t>
      </w:r>
    </w:p>
    <w:p>
      <w:r>
        <w:t>The question of whether nations should allocate substantial funds toward developing high-speed rail networks remains a subject of considerable debate. In my opinion, I strongly disagree with disagreeing with the statement. This essay will provide two reasons supporting my idea.</w:t>
        <w:br/>
        <w:br/>
        <w:t>Such large-scale infrastructure projects divert crucial financial resources from more pressing social needs. In other words, the immense initial outlay required for construction could deplete national treasuries meant for healthcare or education. For instance, the cost of laying tracks and purchasing rolling stock is astronomical, demanding decades of financial commitment. As a result, governments might neglect vital public services, leading to a decline in overall societal well-being. Hence, it becomes evident that prioritizing these systems over fundamental social services is fiscally irresponsible.</w:t>
        <w:br/>
        <w:br/>
        <w:t>Furthermore, these systems often exacerbate existing regional inequalities rather than solving them. This is primarily due to the fact that the lines of high-speed rail tend to connect already wealthy metropolitan hubs. This can be exemplified by the fact that new lines bypass smaller, economically struggling towns, intensifying the disparity between regions. The outcome is that local economies that lack direct rail access suffer from reduced investment and diminished connectivity. This clearly aligns with the view that such investments concentrate wealth and opportunity in select areas.</w:t>
        <w:br/>
        <w:br/>
        <w:t>In conclusion, I strongly disagree with the notion that countries should prioritize high-speed rail systems. Nations should instead focus on addressing social needs like healthcare and education, and mitigating regional inequalities is a more equitable use of public funds.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