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#426 (c1)</w:t>
      </w:r>
    </w:p>
    <w:p>
      <w:r>
        <w:t xml:space="preserve">Prompt: </w:t>
      </w:r>
    </w:p>
    <w:p>
      <w:r>
        <w:t>--------------------</w:t>
      </w:r>
    </w:p>
    <w:p>
      <w:r>
        <w:t>The integration of video games into educational settings presents a complex topic for discussion. In my opinion, I strongly positive with positive. This essay will provide two reasons supporting my idea.</w:t>
        <w:br/>
        <w:br/>
        <w:t>One clear advantage is that interactive games significantly boost student engagement. In other words, these digital resources transform passive learning into an active, enjoyable experience. For instance, a history simulation game might require students to manage resources and make decisions about ancient civilizations. As a result, students develop a deeper understanding of complex historical processes, moving beyond rote memorization. Hence, it becomes evident that games are powerful tools for enhancing academic performance.</w:t>
        <w:br/>
        <w:br/>
        <w:t>Another reason is that games facilitate the development of crucial problem-solving skills. This is primarily due to the fact that game mechanics inherently require players to follow rules and strategize under pressure. This can be exemplified by the fact that puzzle games necessitate logical deduction and iterative attempts to reach a solution. The outcome is that students improve their critical thinking abilities and learn to manage failure constructively. This clearly aligns with the view that games are excellent vehicles for skill development.</w:t>
        <w:br/>
        <w:br/>
        <w:t>In conclusion, I strongly agree that incorporating video games into education is beneficial. These games not only boost student engagement but also significantly enhance problem-solving skills, making them valuable educational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