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#426 (c1)</w:t>
      </w:r>
    </w:p>
    <w:p>
      <w:r>
        <w:t xml:space="preserve">Prompt: </w:t>
      </w:r>
    </w:p>
    <w:p>
      <w:r>
        <w:t>--------------------</w:t>
      </w:r>
    </w:p>
    <w:p>
      <w:r>
        <w:t>The integration of video games into educational settings has become a widely debated topic. In my opinion, I strongly negative with negative. This essay will provide two reasons supporting my idea.</w:t>
        <w:br/>
        <w:br/>
        <w:t>One significant drawback of using video games for learning is the potential for excessive screen time. In other words, prolonged engagement with digital media can negatively impact physical health. For instance, extended periods of gaming may contribute to eye strain and sedentary lifestyles. As a result, students might neglect essential physical activities, affecting overall well-being. Hence, it becomes evident that overuse poses considerable health risks to young learners.</w:t>
        <w:br/>
        <w:br/>
        <w:t>Another concern regarding educational games is the risk of superficial learning outcomes. This is primarily due to the fact that games often prioritize entertainment over deep academic understanding. This can be exemplified by the fact that many titles focus on quick reflexes rather than complex critical thinking. The outcome is that students might grasp surface-level concepts without developing true mastery of the subject matter. This clearly aligns with the view that such tools may undermine genuine academic development.</w:t>
        <w:br/>
        <w:br/>
        <w:t>In conclusion, I strongly disagree with the notion that games are universally beneficial; the potential for health risks and superficial learning outcomes suggests that careful moderation and academic oversight are necessary.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