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#427 (b2)</w:t>
      </w:r>
    </w:p>
    <w:p>
      <w:r>
        <w:t xml:space="preserve">Prompt: </w:t>
      </w:r>
    </w:p>
    <w:p>
      <w:r>
        <w:t>--------------------</w:t>
      </w:r>
    </w:p>
    <w:p>
      <w:r>
        <w:t>Some people believe that going to other countries helps people see the world in a broader way. In my opinion, I strongly disagree with disagree. This essay will provide two reasons supporting my idea.</w:t>
        <w:br/>
        <w:br/>
        <w:t>International travel does not always broaden a person's perspective. In other words, a person's view of the world is often shaped by their existing background in everyday life in everyday life. For instance, a tourist might only visit famous city centers and stay in hotels. As a result, they only see a small part of the local culture. Hence, it becomes evident that the experience is often limited to what is popular.</w:t>
        <w:br/>
        <w:br/>
        <w:t>Another reason is that travel can be very expensive and stressful. This is primarily due to the fact that people must spend much money on flights and accommodation in everyday life in everyday life. This can be exemplified by the fact that a family trip might require saving money for many months. The outcome is that the focus remains on the cost, not on deep learning. This clearly aligns with the view that financial worries limit the depth of the experience.</w:t>
        <w:br/>
        <w:br/>
        <w:t>In conclusion, I strongly disagree with disagree. This is clear from international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