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#427 (c1)</w:t>
      </w:r>
    </w:p>
    <w:p>
      <w:r>
        <w:t xml:space="preserve">Prompt: </w:t>
      </w:r>
    </w:p>
    <w:p>
      <w:r>
        <w:t>--------------------</w:t>
      </w:r>
    </w:p>
    <w:p>
      <w:r>
        <w:t>International travel offers individuals the opportunity to encounter diverse cultures and lifestyles around the world. In my opinion, I strongly agree with agree. This essay will provide two reasons supporting my idea.</w:t>
        <w:br/>
        <w:br/>
        <w:t>One clear advantage is that travel exposes individuals to varied social norms and traditions. In other words, people encounter ways of life that differ significantly from their own daily routines in everyday life. For instance, visiting a market in Southeast Asia allows one to observe unique bargaining practices and local customs. As a result, the traveler gains a deeper appreciation for human adaptability and resilience. Hence, it becomes evident that exposure to foreign cultures broadens one's understanding of humanity.</w:t>
        <w:br/>
        <w:br/>
        <w:t>Another reason is that international journeys necessitate adaptability and problem-solving skills. This is primarily due to the fact that navigating unfamiliar environments requires constant resourcefulness and flexibility. This can be exemplified by the fact that arranging transport or communicating in a foreign language presents immediate challenges. The outcome is that individuals develop a greater sense of self-reliance and global competency. This clearly aligns with the view that such experiences cultivate a more robust and adaptable mindset.</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