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#427 (c1)</w:t>
      </w:r>
    </w:p>
    <w:p>
      <w:r>
        <w:t xml:space="preserve">Prompt: </w:t>
      </w:r>
    </w:p>
    <w:p>
      <w:r>
        <w:t>--------------------</w:t>
      </w:r>
    </w:p>
    <w:p>
      <w:r>
        <w:t>The notion that international travel inherently broadens an individual's perspective is a widely held belief. In my opinion, I strongly disagree with disagree. This essay will provide two reasons supporting my idea.</w:t>
        <w:br/>
        <w:br/>
        <w:t>International travel does not guarantee a significant broadening of one's perspective. In other words, a person's existing knowledge base remains largely unaffected by mere physical movement in everyday life. For instance, a wealthy tourist visiting a foreign country often remains confined to luxury resorts and tourist traps. As a result, their understanding of local life is superficial, lacking genuine depth. Hence, it becomes evident that superficial exposure does not equate to profound personal growth.</w:t>
        <w:br/>
        <w:br/>
        <w:t>Furthermore, the primary source of perspective broadening is internal reflection, not external travel. This is primarily due to the fact that self-improvement and intellectual engagement are more potent catalysts for change. This can be exemplified by the fact that dedicated reading or deep study of history can alter one's worldview. The outcome is that academic pursuits provide a structured framework for understanding complex global issues. This clearly aligns with the view that intellectual development is the true source of expanded understanding.</w:t>
        <w:br/>
        <w:br/>
        <w:t>In conclusion, I strongly disagree with disagree. This is clear from international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