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#429 (a2_b1)</w:t>
      </w:r>
    </w:p>
    <w:p>
      <w:r>
        <w:t xml:space="preserve">Prompt: </w:t>
      </w:r>
    </w:p>
    <w:p>
      <w:r>
        <w:t>--------------------</w:t>
      </w:r>
    </w:p>
    <w:p>
      <w:r>
        <w:t>Many people use shared ways to move around a large town. In my opinion, I strongly disagree with disagree. This essay will provide two reasons supporting my idea.</w:t>
        <w:br/>
        <w:br/>
        <w:t>Private cars are better for making a city grow. In other words, owning a car gives people more space to move in daily life in daily life in daily life today. For example, a family with a car can visit many places outside the city in daily life in daily life today today. As a result, they do not need to worry about bus routes or train times in daily life. This shows that personal vehicles help communities expand.</w:t>
        <w:br/>
        <w:br/>
        <w:t>People can use their own cars for better city growth. This is because private cars allow people to move goods easily and quickly in daily life in daily life in daily life. For example, a small shop owner can take goods to a market far away in daily life in daily life today today. As a result, the shop can sell more items and make money in daily life. This supports the view that private cars help local businesses grow.</w:t>
        <w:br/>
        <w:br/>
        <w:t>In conclusion, I strongly disagree with disagree. This is clear from private and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