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#429 (c1)</w:t>
      </w:r>
    </w:p>
    <w:p>
      <w:r>
        <w:t xml:space="preserve">Prompt: </w:t>
      </w:r>
    </w:p>
    <w:p>
      <w:r>
        <w:t>--------------------</w:t>
      </w:r>
    </w:p>
    <w:p>
      <w:r>
        <w:t>The role of public transportation in fostering the growth and structure of modern cities is a widely debated topic. In my opinion, I strongly disagree with disagree. This essay will provide two reasons supporting my idea.</w:t>
        <w:br/>
        <w:br/>
        <w:t>The assumption that public transport is essential for urban development is overstated. In other words, the existence of private vehicle ownership provides sufficient mobility for most residents in everyday life. For instance, many suburban communities rely solely on personal cars for daily commutes. As a result, the infrastructure supporting private vehicles remains robust and highly efficient. Hence, it becomes evident that individual car ownership is a primary driver of urban growth.</w:t>
        <w:br/>
        <w:br/>
        <w:t>Furthermore, focusing too much on public transport overlooks the importance of private mobility. This is primarily due to the fact that personal vehicles offer unparalleled flexibility in scheduling and routing. This can be exemplified by the fact that emergency services and specialized workers require immediate, direct access. The outcome is that private car usage supports specialized economic activities that public systems cannot accommodate. This clearly aligns with the view that private mobility is more crucial for a thriving metropolis.</w:t>
        <w:br/>
        <w:br/>
        <w:t>In conclusion, I strongly disagree with disagree. This is clear from assumption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