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#430 (c1)</w:t>
      </w:r>
    </w:p>
    <w:p>
      <w:r>
        <w:t xml:space="preserve">Prompt: </w:t>
      </w:r>
    </w:p>
    <w:p>
      <w:r>
        <w:t>--------------------</w:t>
      </w:r>
    </w:p>
    <w:p>
      <w:r>
        <w:t>The debate concerning whether practical, real-world experiences are more valuable for education than traditional classroom learning is quite common. In my opinion, I strongly agree with agreeing with the statement. This essay will provide two reasons supporting my idea.</w:t>
        <w:br/>
        <w:br/>
        <w:t>Experiential learning provides a superior method for acquiring practical skills and deep understanding. In other words, theory alone often fails to prepare individuals for the complexities of professional life. For instance, a student who manages a community project gains organizational skills that a textbook cannot teach. As a result, they develop problem-solving abilities and resilience necessary for career advancement. Hence, it becomes evident that hands-on involvement significantly enhances one's overall competence.</w:t>
        <w:br/>
        <w:br/>
        <w:t>Furthermore, practical engagement fosters self-directed learning and personal accountability. This is primarily due to the fact that real-life challenges necessitate independent decision-making and resourcefulness. This can be exemplified by the fact that an apprentice learning a trade must troubleshoot equipment failures without constant supervision. The outcome is that the individual builds confidence and takes ownership of their professional development. This clearly aligns with the view that practical application is crucial for lifelong growth.</w:t>
        <w:br/>
        <w:br/>
        <w:t>In conclusion, I strongly agree that experiential learning is more effective than formal education. The practical skills gained through hands-on involvement and the development of self-directed learning are invaluable for personal and professional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