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#430 (c1)</w:t>
      </w:r>
    </w:p>
    <w:p>
      <w:r>
        <w:t xml:space="preserve">Prompt: </w:t>
      </w:r>
    </w:p>
    <w:p>
      <w:r>
        <w:t>--------------------</w:t>
      </w:r>
    </w:p>
    <w:p>
      <w:r>
        <w:t>The debate surrounding the relative effectiveness of practical experience versus formal academic study is quite common. In my opinion, I strongly disagree with disagreeing with the statement. This essay will provide two reasons supporting my idea.</w:t>
        <w:br/>
        <w:br/>
        <w:t>Formal education provides a structured foundation of theoretical knowledge. In other words, academic institutions systematically impart foundational concepts and established theories. For instance, a university course in classical literature teaches students about historical contexts and literary movements. As a result, graduates acquire a comprehensive understanding of complex subjects, which is crucial for advanced study. Hence, it becomes evident that formal schooling builds essential intellectual frameworks.</w:t>
        <w:br/>
        <w:br/>
        <w:t>Furthermore, structured learning environments cultivate essential cognitive skills. This is primarily due to the fact that academic settings enforce discipline and critical thinking through rigorous assignments. This can be exemplified by the fact that students must write extensive research papers, requiring meticulous citation and argumentation. The outcome is that individuals develop superior analytical abilities and the capacity for sustained intellectual effort. This clearly aligns with the view that academic rigor is paramount for professional growth.</w:t>
        <w:br/>
        <w:br/>
        <w:t>In conclusion, I strongly disagree that experiential learning is more effective than formal education. Academic institutions provide essential intellectual frameworks, and the structured learning environments cultivate essential cognitive skills, making formal study indispensable for comprehensive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