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#434 (c1)</w:t>
      </w:r>
    </w:p>
    <w:p>
      <w:r>
        <w:t xml:space="preserve">Prompt: </w:t>
      </w:r>
    </w:p>
    <w:p>
      <w:r>
        <w:t>--------------------</w:t>
      </w:r>
    </w:p>
    <w:p>
      <w:r>
        <w:t>The discussion surrounding mental health awareness in educational institutions is highly relevant in contemporary society. In my opinion, I strongly agree with agree. This essay will provide two reasons supporting my idea.</w:t>
        <w:br/>
        <w:br/>
        <w:t>Integrating mental health education into schools is crucial for students' overall development. In other words, students need to acquire knowledge about emotional regulation and self-care practices in everyday life. For instance, a curriculum could include modules on managing academic pressure and recognizing early signs of anxiety. As a result, students learn effective coping mechanisms, which reduces the stigma associated with seeking help. Hence, it becomes evident that proactive education builds emotional resilience among the student body.</w:t>
        <w:br/>
        <w:br/>
        <w:t>Furthermore, school awareness programs provide necessary support systems for vulnerable students. This is primarily due to the fact that peers and educators can identify distress signals before they escalate. This can be exemplified by the fact that peer support groups allow students to share experiences in a non-judgmental setting. The outcome is that students feel more comfortable discussing their feelings, thereby seeking professional counseling. This clearly aligns with the view that institutional support is vital for maintaining student well-being.</w:t>
        <w:br/>
        <w:br/>
        <w:t>In conclusion, I strongly agree with agree. This is clear from integrating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