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#434 (c1)</w:t>
      </w:r>
    </w:p>
    <w:p>
      <w:r>
        <w:t xml:space="preserve">Prompt: </w:t>
      </w:r>
    </w:p>
    <w:p>
      <w:r>
        <w:t>--------------------</w:t>
      </w:r>
    </w:p>
    <w:p>
      <w:r>
        <w:t>The discussion regarding the importance of mental health awareness within educational institutions is quite prevalent. In my opinion, I strongly disagree with disagree. This essay will provide two reasons supporting my idea.</w:t>
        <w:br/>
        <w:br/>
        <w:t>Integrating mental health awareness into the curriculum is impractical for schools. In other words, the existing academic structure is already overburdened with core subjects. For instance, allocating time for extensive emotional education would necessitate reducing crucial science or history lessons. As a result, teachers would face immense pressure to cover more material in less time, diminishing the quality of instruction. Hence, it becomes evident that academic rigor must remain the primary focus of educational settings.</w:t>
        <w:br/>
        <w:br/>
        <w:t>Focusing excessive attention on mental well-being detracts from core educational goals. This is primarily due to the fact that students already possess inherent mechanisms for emotional regulation. This can be exemplified by the fact that many students learn effective coping strategies through family interactions outside of school. The outcome is that excessive institutional focus might inadvertently create a dependency on external support rather than fostering internal resilience. This clearly aligns with the view that personal growth happens best through natural, non-mandated experiences.</w:t>
        <w:br/>
        <w:br/>
        <w:t>In conclusion, I strongly disagree with disagree. This is clear from integrating and focusing.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