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#435 (b2)</w:t>
      </w:r>
    </w:p>
    <w:p>
      <w:r>
        <w:t xml:space="preserve">Prompt: </w:t>
      </w:r>
    </w:p>
    <w:p>
      <w:r>
        <w:t>--------------------</w:t>
      </w:r>
    </w:p>
    <w:p>
      <w:r>
        <w:t>The idea of sustainable living suggests that everyone can adopt habits that protect the planet for the future. In my opinion, I strongly disagree with disagreeing with the statement. This essay will provide two reasons supporting my idea.</w:t>
        <w:br/>
        <w:br/>
        <w:t>Many people misunderstand what sustainable living truly requires. In other words, it demands major changes in global systems, not just small personal efforts. For instance, changing how food is grown or how energy is produced needs large investments. As a result, The result is that individual actions alone cannot fix deep problems in our environment. Hence, it becomes evident that systemic changes are necessary for true sustainability.</w:t>
        <w:br/>
        <w:br/>
        <w:t>Another reason is that economic factors create huge barriers to sustainable living. This is primarily due to the fact that This is mainly because eco-friendly goods are often more expensive than normal items. This can be exemplified by the fact that that solar panels or electric cars cost a lot of money upfront. The outcome is that only wealthy people can afford to live in a truly sustainable way. This clearly aligns with the view that This clearly shows that economic issues limit global sustainability.</w:t>
        <w:br/>
        <w:br/>
        <w:t>In conclusion, I strongly disagree that sustainable living can be achieved by everyone. Since systemic changes are necessary and economic issues limit global sustainability, we need more than just personal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