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#435 (c1)</w:t>
      </w:r>
    </w:p>
    <w:p>
      <w:r>
        <w:t xml:space="preserve">Prompt: </w:t>
      </w:r>
    </w:p>
    <w:p>
      <w:r>
        <w:t>--------------------</w:t>
      </w:r>
    </w:p>
    <w:p>
      <w:r>
        <w:t>The concept of sustainable living suggests that all individuals can adopt practices that protect the environment for future generations. In my opinion, I strongly disagree with disagreeing with the statement. This essay will provide two reasons supporting my idea.</w:t>
        <w:br/>
        <w:br/>
        <w:t>Achieving a truly sustainable lifestyle requires significant structural changes that extend beyond individual effort. In other words, systemic shifts in infrastructure and policy are necessary to support ecological balance. For instance, developing nations often lack the necessary public transport networks, making car dependency unavoidable for many citizens. As a result, the individual's ability to reduce their carbon footprint is severely limited by geographical and economic constraints. Hence, it becomes evident that personal commitment alone cannot solve global environmental challenges.</w:t>
        <w:br/>
        <w:br/>
        <w:t>Furthermore, the economic disparity among populations creates insurmountable barriers to adopting sustainable practices. This is primarily due to the fact that eco-friendly goods and services are often prohibitively expensive for low-income households. This can be exemplified by the fact that organic, local food sources frequently cost substantially more than conventionally farmed alternatives. The outcome is that poverty forces people into unsustainable consumption patterns simply to meet basic nutritional needs. This clearly aligns with the view that economic inequality undermines universal sustainability goals.</w:t>
        <w:br/>
        <w:br/>
        <w:t>In conclusion, I strongly disagree that sustainable living can be achieved by everyone, because systemic changes are needed to support ecological balance, and economic inequality undermines universal sustainability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