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#436 (b2)</w:t>
      </w:r>
    </w:p>
    <w:p>
      <w:r>
        <w:t xml:space="preserve">Prompt: </w:t>
      </w:r>
    </w:p>
    <w:p>
      <w:r>
        <w:t>--------------------</w:t>
      </w:r>
    </w:p>
    <w:p>
      <w:r>
        <w:t>The rise of the Internet has brought many changes to how people form and keep friendships. In my opinion, I strongly disagree with disagree. This essay will provide two reasons supporting my idea.</w:t>
        <w:br/>
        <w:br/>
        <w:t>The Internet has not changed the core nature of friendships. In other words, This is because the basic need for human connection remains the same. For instance, For example, people still seek emotional support from their close friends, whether they are near or far. As a result, This result supports the view that virtual chats help people keep in touch with loved ones they might otherwise lose contact with. Hence, it becomes evident that The foundation of friendship is strong enough to handle modern technology.</w:t>
        <w:br/>
        <w:br/>
        <w:t>Friendships can still be deep and good even with technology. This is primarily due to the fact that This is mainly because people use online tools to strengthen existing bonds. This can be exemplified by the fact that A practical example is that friends use group chats to plan activities and share daily moments. The outcome is that keeping relationships going becomes easier, allowing people to stay connected across distances. This clearly aligns with the view that This clearly shows that technology is just a tool for connection, not a replacement for real bonds.</w:t>
        <w:br/>
        <w:br/>
        <w:t>In conclusion, I strongly disagree that the Internet has changed the nature of friendships. The evidence shows that the basic need for human connection remains strong, and technology simply helps people keep relationships going across distances.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