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#436 (c1)</w:t>
      </w:r>
    </w:p>
    <w:p>
      <w:r>
        <w:t xml:space="preserve">Prompt: </w:t>
      </w:r>
    </w:p>
    <w:p>
      <w:r>
        <w:t>--------------------</w:t>
      </w:r>
    </w:p>
    <w:p>
      <w:r>
        <w:t>The proliferation of digital platforms has significantly altered how individuals maintain and experience friendships. In my opinion, I strongly agree with agree. This essay will provide two reasons supporting my idea.</w:t>
        <w:br/>
        <w:br/>
        <w:t>The internet has provided unprecedented means for people to keep in touch regardless of geographical distance. In other words, maintaining relationships is no longer solely dependent on physical proximity in everyday life. For instance, friends living in different continents can regularly chat and share moments through video calls. As a result, the emotional bond between individuals remains strong, despite the physical separation. Hence, it becomes evident that virtual interaction can sustain deep connections.</w:t>
        <w:br/>
        <w:br/>
        <w:t>Another key change is the increased convenience in forming and maintaining social circles. This is primarily due to the fact that people can connect with like-minded individuals who might otherwise be inaccessible in everyday life. This can be exemplified by the fact that niche hobby groups on social media allow people to find peers globally. The outcome is that individuals feel less isolated and have a wider network of support. This clearly aligns with the view that the digital age expands social opportunities.</w:t>
        <w:br/>
        <w:br/>
        <w:t>In conclusion, I strongly agree with agree. This is clear from internet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