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#436 (c1)</w:t>
      </w:r>
    </w:p>
    <w:p>
      <w:r>
        <w:t xml:space="preserve">Prompt: </w:t>
      </w:r>
    </w:p>
    <w:p>
      <w:r>
        <w:t>--------------------</w:t>
      </w:r>
    </w:p>
    <w:p>
      <w:r>
        <w:t>The proliferation of digital platforms has prompted considerable discussion regarding how modern technology affects the quality of human friendships. In my opinion, I strongly disagree with disagree. This essay will provide two reasons supporting my idea.</w:t>
        <w:br/>
        <w:br/>
        <w:t>The internet has not fundamentally altered the intrinsic nature of friendship. In other words, the core elements of mutual trust and emotional support remain essential for any meaningful bond. For instance, a friend can still offer genuine comfort through a video call, just as they would in person. As a result, the ability to maintain deep emotional connections is not dependent on physical proximity. Hence, it becomes evident that the foundational requirements for strong relationships persist despite technological advancements.</w:t>
        <w:br/>
        <w:br/>
        <w:t>Digital tools merely offer alternative methods for maintaining existing connections. This is primarily due to the fact that technology provides unparalleled convenience for communication. This can be exemplified by the fact that group chats allow individuals across continents to share daily moments instantly. The outcome is that friends can keep in touch with a wider network of people than ever before. This clearly aligns with the view that technology is merely a facilitating force, not a transformative one.</w:t>
        <w:br/>
        <w:br/>
        <w:t>In conclusion, I strongly disagree with disagree. This is clear from internet and digital.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