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(c1)</w:t>
      </w:r>
    </w:p>
    <w:p>
      <w:r>
        <w:t xml:space="preserve">Prompt: </w:t>
      </w:r>
    </w:p>
    <w:p>
      <w:r>
        <w:t>--------------------</w:t>
      </w:r>
    </w:p>
    <w:p>
      <w:r>
        <w:t>The effectiveness of mindfulness and meditation in enhancing overall quality of life is a widely debated topic. In my opinion, I strongly disagree with disagree. This essay will provide two reasons supporting my idea.</w:t>
        <w:br/>
        <w:br/>
        <w:t>These practices do not offer a universally applicable solution for improving mental well-being. In other words, their efficacy is highly dependent on the individual's existing psychological state and commitment level. For instance, someone struggling with severe clinical depression may find the techniques insufficient for managing their symptoms. As a result, relying solely on meditation could lead to a false sense of security regarding their mental health. Hence, it becomes evident that these methods are merely supplementary tools, not primary treatments.</w:t>
        <w:br/>
        <w:br/>
        <w:t>Furthermore, the concept of 'quality of life' is too subjective to be universally improved by simple practices. This is primarily due to the fact that true life improvement requires substantial systemic changes, such as economic stability or social justice. This can be exemplified by the fact that a person facing chronic poverty will find meditation difficult to integrate into their daily routine. The outcome is that focusing only on internal calm ignores the profound external pressures that dictate human experience. This clearly aligns with the view that external circumstances hold greater sway over human flourishing.</w:t>
        <w:br/>
        <w:br/>
        <w:t>In conclusion, I strongly disagree with disagree. This is clear from practices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