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#43 (c1)</w:t>
      </w:r>
    </w:p>
    <w:p>
      <w:r>
        <w:t xml:space="preserve">Prompt: </w:t>
      </w:r>
    </w:p>
    <w:p>
      <w:r>
        <w:t>--------------------</w:t>
      </w:r>
    </w:p>
    <w:p>
      <w:r>
        <w:t>The question of whether parents should bear legal responsibility for their children's actions is a complex issue of jurisprudence. In my opinion, I strongly agree with agree. This essay will provide two reasons supporting my idea.</w:t>
        <w:br/>
        <w:br/>
        <w:t>Holding parents legally responsible for their children's behavior is justifiable because they are the primary figures in a child's upbringing. In other words, parents are responsible for instilling fundamental values and moral principles. For instance, if a child engages in vandalism, the parents' failure to teach respect for public property is a contributing factor. As a result, the legal system can hold parents accountable for inadequate guidance and supervision. Hence, it becomes evident that parental oversight is a crucial determinant of a child's conduct.</w:t>
        <w:br/>
        <w:br/>
        <w:t>Furthermore, parental guidance is essential for developing a child's sense of civic duty and social responsibility. This is primarily due to the fact that the home environment shapes a child's initial understanding of societal rules. This can be exemplified by the fact that children who receive consistent discipline are less likely to engage in anti-social activities. The outcome is that legal accountability encourages parents to maintain a higher standard of nurturing and supervision. This clearly aligns with the view that parental involvement is necessary for responsible citizenship.</w:t>
        <w:br/>
        <w:br/>
        <w:t>In conclusion, I strongly agree with agree. This is clear from holding and furthermore.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