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#43 (c1)</w:t>
      </w:r>
    </w:p>
    <w:p>
      <w:r>
        <w:t xml:space="preserve">Prompt: </w:t>
      </w:r>
    </w:p>
    <w:p>
      <w:r>
        <w:t>--------------------</w:t>
      </w:r>
    </w:p>
    <w:p>
      <w:r>
        <w:t>The question of whether parents should bear legal responsibility for their children's actions is a complex societal debate. In my opinion, I strongly agree with agree. This essay will provide two reasons supporting my idea.</w:t>
        <w:br/>
        <w:br/>
        <w:t>Parents should indeed be held legally responsible for the actions of their children. In other words, they bear a duty to guide their offspring's behavior and moral development. For instance, if a child engages in vandalism at school, the parents' failure to teach respect for property could be implicated. As a result, the legal system might view the incident not just as a youthful mistake, but as a reflection of inadequate guidance. Hence, it becomes evident that parental oversight is a crucial factor in preventing misconduct.</w:t>
        <w:br/>
        <w:br/>
        <w:t>Furthermore, parental guidance is essential for fostering responsible citizenship. This is primarily due to the fact that early life experiences shape an individual's moral compass. This can be exemplified by the fact that children who receive consistent discipline are more likely to adhere to community rules. The outcome is that such individuals grow into law-abiding adults who contribute positively to society. This clearly aligns with the view that proactive parenting minimizes the need for punitive legal measures.</w:t>
        <w:br/>
        <w:br/>
        <w:t>In conclusion, I strongly agree with agree. This is clear from parents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