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#440 (b2)</w:t>
      </w:r>
    </w:p>
    <w:p>
      <w:r>
        <w:t xml:space="preserve">Prompt: </w:t>
      </w:r>
    </w:p>
    <w:p>
      <w:r>
        <w:t>--------------------</w:t>
      </w:r>
    </w:p>
    <w:p>
      <w:r>
        <w:t>The question of who should fund research into renewable energy sources is a major topic in today's world. In my opinion, I strongly agree with agree. This essay will provide two reasons supporting my idea.</w:t>
        <w:br/>
        <w:br/>
        <w:t>Government funding is very important for advancing renewable energy technology. In other words, private companies might not invest enough money on their own in everyday life. For instance, developing solar power in remote areas needs large amounts of money. As a result, the cost of making clean electricity drops faster. Hence, it becomes evident that government support speeds up the progress of these new sources.</w:t>
        <w:br/>
        <w:br/>
        <w:t>Government funding also helps create jobs and improve national security. This is primarily due to the fact that relying on foreign oil makes a country weak in everyday life. This can be exemplified by the fact that many nations want to reduce their carbon footprint. The outcome is that local jobs in wind energy and grid capacity grow. This clearly aligns with the view that government investment is necessary for a strong economy.</w:t>
        <w:br/>
        <w:br/>
        <w:t>In conclusion, I strongly agree that government funding is vital. Government support helps advance renewable energy technology, and this investment is also key to improving national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