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#440 (b2)</w:t>
      </w:r>
    </w:p>
    <w:p>
      <w:r>
        <w:t xml:space="preserve">Prompt: </w:t>
      </w:r>
    </w:p>
    <w:p>
      <w:r>
        <w:t>--------------------</w:t>
      </w:r>
    </w:p>
    <w:p>
      <w:r>
        <w:t>The question of who should fund research into renewable energy sources is a major topic in modern policy making. In my opinion, I strongly disagree with disagree. This essay will provide two reasons supporting my idea.</w:t>
        <w:br/>
        <w:br/>
        <w:t>Government funding is not the only way to advance renewable energy technology. In other words, private companies and individual investors can also provide necessary financial support. For instance, large tech firms often invest in solar power research to improve their own products. As a result, this private money speeds up the development of new, cost-effective energy solutions. Hence, it becomes evident that market forces play a strong role in this progress.</w:t>
        <w:br/>
        <w:br/>
        <w:t>Government funding can sometimes slow down the progress of clean energy. This is primarily due to the fact that government processes are often slow and involve much debate. This can be exemplified by the fact that large public projects take many years to get approved and started. The outcome is that private sector innovation, which is faster, gets a better head start. This clearly aligns with the view that market-driven investment is more effective.</w:t>
        <w:br/>
        <w:br/>
        <w:t>In conclusion, I strongly disagree that government funding is the main source. Private investment is key to advancing renewable energy technology, and market forces are better at driving this progress.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