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(c1)</w:t>
      </w:r>
    </w:p>
    <w:p>
      <w:r>
        <w:t xml:space="preserve">Prompt: </w:t>
      </w:r>
    </w:p>
    <w:p>
      <w:r>
        <w:t>--------------------</w:t>
      </w:r>
    </w:p>
    <w:p>
      <w:r>
        <w:t>The question of who should fund research into renewable energy sources is a critical global discussion. In my opinion, I strongly agree with agree. This essay will provide two reasons supporting my idea.</w:t>
        <w:br/>
        <w:br/>
        <w:t>Government funding is crucial for accelerating the adoption of renewable energy technologies. In other words, private investment alone often lacks the scale required for large-scale infrastructure development. For instance, developing offshore wind farms requires immense initial capital outlay, which few private entities can manage. As a result, government subsidies can de-risk these massive projects, encouraging further private participation. Hence, it becomes evident that public financial backing is essential for achieving a sustainable energy transition.</w:t>
        <w:br/>
        <w:br/>
        <w:t>Government involvement ensures that renewable energy research aligns with broader public welfare goals. This is primarily due to the fact that market forces alone may overlook unprofitable but environmentally necessary technologies. This can be exemplified by the fact that research into geothermal power, while viable, may not be immediately profitable for corporations. The outcome is that governmental policy can mandate the development of these sources, ensuring universal access. This clearly aligns with the view that public funding guides the necessary shift toward cleaner power.</w:t>
        <w:br/>
        <w:br/>
        <w:t>In conclusion, I strongly agree that government funding is vital for advancing renewable energy. Public financial backing is necessary to accelerate the adoption of renewable energy technologies, while government policy ensures the necessary shift toward cleaner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