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#440 (c1)</w:t>
      </w:r>
    </w:p>
    <w:p>
      <w:r>
        <w:t xml:space="preserve">Prompt: </w:t>
      </w:r>
    </w:p>
    <w:p>
      <w:r>
        <w:t>--------------------</w:t>
      </w:r>
    </w:p>
    <w:p>
      <w:r>
        <w:t>The question of who should fund research into renewable energy sources is a complex issue of global policy. In my opinion, I strongly disagree with disagree. This essay will provide two reasons supporting my idea.</w:t>
        <w:br/>
        <w:br/>
        <w:t>Private sector investment is more effective in driving renewable energy research than government funding. In other words, One clear advantage is that market forces and commercial incentives are better positioned to innovate rapidly. For instance, large energy corporations are heavily investing in advanced solar power technologies to secure future market share. As a result, This result supports the view that the pursuit of profit motivates the development of more efficient and scalable clean power solutions. Hence, it becomes evident that Consequently, it becomes evident that private capital provides a more robust engine for technological advancement.</w:t>
        <w:br/>
        <w:br/>
        <w:t>Governments should focus on guiding the market rather than providing direct funding for energy research. This is primarily due to the fact that This is primarily because public money can be allocated more efficiently through tax breaks and subsidies. This can be exemplified by the fact that A practical example is how tax incentives encourage private companies to adopt wind energy technologies without direct state expenditure. The outcome is that the market absorbs the risk, while the government merely guides the transition. This clearly aligns with the view that market mechanisms are superior to state funding.</w:t>
        <w:br/>
        <w:br/>
        <w:t>In conclusion, I strongly disagree with the notion that governments should primarily fund renewable energy research. Private capital is better suited to drive technological advancement, and market mechanisms are superior to state funding in this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