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#441 (c1)</w:t>
      </w:r>
    </w:p>
    <w:p>
      <w:r>
        <w:t xml:space="preserve">Prompt: </w:t>
      </w:r>
    </w:p>
    <w:p>
      <w:r>
        <w:t>--------------------</w:t>
      </w:r>
    </w:p>
    <w:p>
      <w:r>
        <w:t>The question of whether the pursuit of happiness constitutes the most vital objective in human existence is a subject of considerable debate. In my opinion, I strongly agree with agree. This essay will provide two reasons supporting my idea.</w:t>
        <w:br/>
        <w:br/>
        <w:t>The primary objective of human life should indeed be achieving a state of personal fulfillment. In other words, this means prioritizing emotional well-being over material accumulation in everyday life in everyday life in everyday life. For instance, dedicating time to meaningful relationships provides deep satisfaction. As a result, individuals develop a strong sense of belonging and purpose. Hence, it becomes evident that emotional connection is foundational to a rich life.</w:t>
        <w:br/>
        <w:br/>
        <w:t>Furthermore, focusing on happiness encourages self-improvement and personal growth. This is primarily due to the fact that setting positive goals motivates continuous self-actualization in everyday life in everyday life in everyday life. This can be exemplified by the fact that learning a new skill, such as playing an instrument, boosts confidence. The outcome is that people gain a deeper understanding of their own capabilities. This clearly aligns with the view that self-development is crucial for overall happiness.</w:t>
        <w:br/>
        <w:br/>
        <w:t>In conclusion, I strongly agree with agree. This is clear from primary and furthermore.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