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#442 (c1)</w:t>
      </w:r>
    </w:p>
    <w:p>
      <w:r>
        <w:t xml:space="preserve">Prompt: </w:t>
      </w:r>
    </w:p>
    <w:p>
      <w:r>
        <w:t>--------------------</w:t>
      </w:r>
    </w:p>
    <w:p>
      <w:r>
        <w:t>The question of whether human empathy is diminishing in the era of digital technology is a subject of considerable debate. In my opinion, I strongly disagree with disagreeing with the statement. This essay will provide two reasons supporting my idea.</w:t>
        <w:br/>
        <w:br/>
        <w:t>Digital platforms actually provide unprecedented opportunities for emotional connection. In other words, the internet allows individuals to connect with diverse groups globally, fostering mutual understanding. For instance, online support groups enable people facing rare illnesses to share experiences and emotional support. As a result, these virtual communities build a sense of belonging and shared humanity that transcends geographical boundaries. Hence, it becomes evident that digital tools can significantly enhance human rapport.</w:t>
        <w:br/>
        <w:br/>
        <w:t>Furthermore, digital communication methods are developing new forms of emotional intelligence. This is primarily due to the fact that specialized applications facilitate nuanced emotional expression and recognition. This can be exemplified by the fact that virtual reality platforms allow users to practice empathetic responses in simulated scenarios. The outcome is that people gain practical skills in understanding others' perspectives, thereby improving their real-world interactions. This clearly aligns with the view that technology can augment our capacity for empathizing.</w:t>
        <w:br/>
        <w:br/>
        <w:t>In conclusion, I strongly disagree that human empathy is declining in the digital age. The evidence suggests that digital platforms enhance human rapport, and that communication methods are developing new forms of emotional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