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#443 (c1)</w:t>
      </w:r>
    </w:p>
    <w:p>
      <w:r>
        <w:t xml:space="preserve">Prompt: </w:t>
      </w:r>
    </w:p>
    <w:p>
      <w:r>
        <w:t>--------------------</w:t>
      </w:r>
    </w:p>
    <w:p>
      <w:r>
        <w:t>The extent to which engaging in hobbies and leisure activities contributes to an individual's personal development is a subject of considerable discussion. In my opinion, I strongly agree with agreeing with the statement. This essay will provide two reasons supporting my idea.</w:t>
        <w:br/>
        <w:br/>
        <w:t>Hobbies provide valuable avenues for self-improvement and skill acquisition. In other words, dedicating time to personal interests allows individuals to cultivate specific aptitudes. For instance, learning to play a musical instrument requires consistent practice and discipline. As a result, the individual develops enhanced cognitive functions and patience. Hence, it becomes evident that these activities build crucial life skills.</w:t>
        <w:br/>
        <w:br/>
        <w:t>Furthermore, leisure pursuits are instrumental in enhancing mental and emotional well-being. This is primarily due to the fact that engaging in enjoyable pastimes offers a necessary respite from daily pressures. This can be exemplified by the fact that gardening provides a calming routine and connection with nature. The outcome is that participants experience reduced stress levels and improved mood. This clearly aligns with the view that such activities are vital for emotional balance.</w:t>
        <w:br/>
        <w:br/>
        <w:t>In conclusion, I strongly agree that hobbies and leisure activities significantly contribute to personal growth. These activities not only build crucial life skills but also are instrumental in enhancing mental and emotional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