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#444 (a2_b1)</w:t>
      </w:r>
    </w:p>
    <w:p>
      <w:r>
        <w:t xml:space="preserve">Prompt: </w:t>
      </w:r>
    </w:p>
    <w:p>
      <w:r>
        <w:t>--------------------</w:t>
      </w:r>
    </w:p>
    <w:p>
      <w:r>
        <w:t>Some people think that learning new facts is the most important thing for people's future. In my opinion, I strongly disagree with disagreeing with the statement. This essay will provide two reasons supporting my idea.</w:t>
        <w:br/>
        <w:br/>
        <w:t>A key factor for a good future is having strong social skills. In other words, people need to work well with others in their lives in daily life. For example, a team project at school needs good talking skills in daily life. As a result, students learn how to share ideas and solve problems together. This shows that human connection is very important for success.</w:t>
        <w:br/>
        <w:br/>
        <w:t>Another important factor is that money and resources matter more than knowledge. This is because having enough money helps people live a comfortable life in daily life. For example, a family needs money to buy food and pay for rent. As a result, people must focus on jobs that pay well. This supports the view that money is a key part of a good life.</w:t>
        <w:br/>
        <w:br/>
        <w:t>In conclusion, I strongly disagree with the idea that learning new facts is the key to humanity's future. People need strong social skills, and money and resources are also very important for a good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