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#447 (b2)</w:t>
      </w:r>
    </w:p>
    <w:p>
      <w:r>
        <w:t xml:space="preserve">Prompt: </w:t>
      </w:r>
    </w:p>
    <w:p>
      <w:r>
        <w:t>--------------------</w:t>
      </w:r>
    </w:p>
    <w:p>
      <w:r>
        <w:t>Some people believe that success requires qualities that cannot be taught in a university or any similar educational setting. In my opinion, I strongly disagree with disagree. This essay will provide two reasons supporting my idea.</w:t>
        <w:br/>
        <w:br/>
        <w:t>One clear advantage is that practical experience teaches essential life skills. In other words, a job or real-life situation gives people chances to develop abilities outside of classroom study. For instance, managing a team at work teaches people how to handle conflicts and work together. As a result, people learn how to communicate well and solve problems in real time. Hence, it becomes evident that practical life is a key source of success qualities.</w:t>
        <w:br/>
        <w:br/>
        <w:t>Another reason is that personal growth comes from facing real-world challenges. This is primarily due to the fact that life throws unexpected problems that require quick thinking and resilience. This can be exemplified by the fact that starting a business requires learning about money and people skills. The outcome is that individuals become more adaptable and learn to manage their emotions under pressure. This clearly aligns with the view that life provides unique lessons for success.</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