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#447 (c1)</w:t>
      </w:r>
    </w:p>
    <w:p>
      <w:r>
        <w:t xml:space="preserve">Prompt: </w:t>
      </w:r>
    </w:p>
    <w:p>
      <w:r>
        <w:t>--------------------</w:t>
      </w:r>
    </w:p>
    <w:p>
      <w:r>
        <w:t>The acquisition of success requires more than academic knowledge gained within formal educational settings. In my opinion, I strongly agree with agree. This essay will provide two reasons supporting my idea.</w:t>
        <w:br/>
        <w:br/>
        <w:t>A crucial element of success involves developing personal attributes that cannot be taught in a classroom. In other words, these qualities relate to character and practical application rather than theoretical understanding in everyday life. For instance, resilience, the ability to recover from setbacks, is vital in any career path. As a result, individuals who possess this trait are better equipped to handle professional disappointments. Hence, it becomes evident that self-discipline and grit are essential components of a successful life.</w:t>
        <w:br/>
        <w:br/>
        <w:t>Another essential quality is the capacity for effective communication and interpersonal skills. This is primarily due to the fact that professional environments demand constant interaction with diverse groups of people in everyday life. This can be exemplified by the fact that successful project managers must negotiate and collaborate with various stakeholders. The outcome is that strong communication abilities facilitate smoother teamwork and better problem-solving. This clearly aligns with the view that practical experience is paramount for professional achievement.</w:t>
        <w:br/>
        <w:br/>
        <w:t>In conclusion, I strongly agree with agree. This is clear from crucial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