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#447 (c1)</w:t>
      </w:r>
    </w:p>
    <w:p>
      <w:r>
        <w:t xml:space="preserve">Prompt: </w:t>
      </w:r>
    </w:p>
    <w:p>
      <w:r>
        <w:t>--------------------</w:t>
      </w:r>
    </w:p>
    <w:p>
      <w:r>
        <w:t>Some people argue that achieving true success requires qualities that cannot be acquired within an academic setting. In my opinion, I strongly disagree with disagree. This essay will provide two reasons supporting my idea.</w:t>
        <w:br/>
        <w:br/>
        <w:t>A primary argument is that practical life experience is crucial for developing necessary professional skills. In other words, academic knowledge alone does not prepare individuals for the complexities of the workplace. For instance, managing a team project requires negotiation and conflict resolution, skills rarely taught in lectures. As a result, graduates may struggle to transition their theoretical understanding into actionable professional strategies. Hence, it becomes evident that real-world exposure significantly contributes to one's overall capability.</w:t>
        <w:br/>
        <w:br/>
        <w:t>Another reason is that personal attributes, such as resilience and adaptability, are developed outside of formal education. This is primarily due to the fact that life presents unpredictable challenges that build emotional intelligence. This can be exemplified by the fact that overcoming a significant personal setback teaches valuable lessons about perseverance. The outcome is that individuals learn to manage disappointment and maintain motivation despite setbacks. This clearly aligns with the view that self-directed growth is paramount to achieving success.</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