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#450 (b2)</w:t>
      </w:r>
    </w:p>
    <w:p>
      <w:r>
        <w:t xml:space="preserve">Prompt: </w:t>
      </w:r>
    </w:p>
    <w:p>
      <w:r>
        <w:t>--------------------</w:t>
      </w:r>
    </w:p>
    <w:p>
      <w:r>
        <w:t>The question of whether digital art holds the same worth as traditional art is a common discussion among art lovers. In my opinion, I strongly agree with agreeing with the statement. This essay will provide two reasons supporting my idea.</w:t>
        <w:br/>
        <w:br/>
        <w:t>Digital art offers many ways for artists to express themselves. In other words, artists can use many tools that were not available before. For instance, a person can use software to create complex images that would take many hours to paint by hand. As a result, the creative process becomes much faster and more flexible for the artist. Hence, it becomes evident that digital tools give artists great freedom in their work.</w:t>
        <w:br/>
        <w:br/>
        <w:t>Digital art can be displayed and shared with many people around the world. This is primarily due to the fact that the internet allows instant global access to pictures. This can be exemplified by the fact that an online gallery can show thousands of artworks to people everywhere. The outcome is that art is no longer limited by physical location or museum walls. This clearly aligns with the view that digital art has a wide reach and impact.</w:t>
        <w:br/>
        <w:br/>
        <w:t>In conclusion, I strongly agree that digital art is as valuable as traditional art. Both the freedom of digital tools and the wide reach of digital mediums prove that modern art holds great worth.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