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#450 (b2)</w:t>
      </w:r>
    </w:p>
    <w:p>
      <w:r>
        <w:t xml:space="preserve">Prompt: </w:t>
      </w:r>
    </w:p>
    <w:p>
      <w:r>
        <w:t>--------------------</w:t>
      </w:r>
    </w:p>
    <w:p>
      <w:r>
        <w:t>The question of whether digital art holds the same worth as traditional art is a common discussion today. In my opinion, I strongly disagree with disagreeing with the statement. This essay will provide two reasons supporting my idea.</w:t>
        <w:br/>
        <w:br/>
        <w:t>Traditional art holds a unique value that digital art cannot fully match. In other words, the physical nature of the materials adds to its worth. For instance, a painting made with oil paint shows the unique texture of the brushstrokes. As a result, collectors value the history and the physical presence of the piece. Hence, it becomes evident that the physical craft is a major part of the art's value.</w:t>
        <w:br/>
        <w:br/>
        <w:t>Furthermore, the creative process in traditional art is often more important to its value. This is primarily due to the fact that the artist must use physical tools and materials. This can be exemplified by the fact that carving a statue requires years of skill and physical effort. The outcome is that the visible effort and the time spent are part of the art's story. This clearly aligns with the view that the effort put into the art is key to its worth.</w:t>
        <w:br/>
        <w:br/>
        <w:t>In conclusion, I strongly disagree that digital art is as valuable as traditional art. The physical craft of traditional art and the effort put into the art give it a unique worth that digital art lacks.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