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#450 (c1)</w:t>
      </w:r>
    </w:p>
    <w:p>
      <w:r>
        <w:t xml:space="preserve">Prompt: </w:t>
      </w:r>
    </w:p>
    <w:p>
      <w:r>
        <w:t>--------------------</w:t>
      </w:r>
    </w:p>
    <w:p>
      <w:r>
        <w:t>The comparison between digital art and traditional art often sparks debate regarding their relative worth. In my opinion, I strongly agree with agreeing with the statement. This essay will provide two reasons supporting my idea.</w:t>
        <w:br/>
        <w:br/>
        <w:t>Digital art possesses considerable aesthetic value, making it comparable to traditional media. In other words, the tools available today allow for unparalleled levels of detail and refinement. For instance, a digital painting can incorporate complex gradients and textures that would be immensely difficult to achieve with physical paint. As a result, artists can quickly iterate through numerous concepts, enhancing the overall creative process. Hence, it becomes evident that the technical capabilities of digital mediums elevate their artistic standing.</w:t>
        <w:br/>
        <w:br/>
        <w:t>Furthermore, digital art offers remarkable accessibility, broadening the reach of creative expression. This is primarily due to the fact that artists no longer require expensive physical materials or dedicated studio space. This can be exemplified by the fact that an individual with a tablet and software can produce gallery-quality images from anywhere. The outcome is that artistic talent is less constrained by geographical limitations or financial means. This clearly aligns with the view that digital art democratizes the creative process.</w:t>
        <w:br/>
        <w:br/>
        <w:t>In conclusion, I strongly agree that digital art is as valuable as traditional art. Both the technical capabilities of digital mediums and the accessibility of the creative process affirm the equal worth of these artistic 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