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#451 (c1)</w:t>
      </w:r>
    </w:p>
    <w:p>
      <w:r>
        <w:t xml:space="preserve">Prompt: </w:t>
      </w:r>
    </w:p>
    <w:p>
      <w:r>
        <w:t>--------------------</w:t>
      </w:r>
    </w:p>
    <w:p>
      <w:r>
        <w:t>The expansion of human activity into outer space necessitates the establishment of comprehensive legal frameworks and governance structures. In my opinion, I strongly agree with agree. This essay will provide two reasons supporting my idea.</w:t>
        <w:br/>
        <w:br/>
        <w:t>Space exploration inherently involves complex international interactions that require clear legal guidelines. In other words, establishing protocols is crucial for maintaining order among various nations operating in the cosmos. For instance, the increasing number of satellites contributes to space debris, which poses a significant risk to other missions. As a result, international treaties are needed to regulate orbital paths and prevent collisions. Hence, it becomes evident that robust space laws are essential for the sustainability of space activities.</w:t>
        <w:br/>
        <w:br/>
        <w:t>The potential for resource conflict in outer space demands preemptive legal oversight. This is primarily due to the fact that current international law lacks specific jurisdiction over resource claims beyond Earth's orbit. This can be exemplified by the fact that nations are beginning to show interest in lunar and asteroid materials. The outcome is that without clear regulations, disputes over ownership could escalate into geopolitical tensions. This clearly aligns with the view that space governance must be proactive and comprehensive.</w:t>
        <w:br/>
        <w:br/>
        <w:t>In conclusion, I strongly agree that space laws are necessary. Establishing protocols for space activities and addressing potential resource conflicts are vital steps for the continued success of human 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