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#454 (c1)</w:t>
      </w:r>
    </w:p>
    <w:p>
      <w:r>
        <w:t xml:space="preserve">Prompt: </w:t>
      </w:r>
    </w:p>
    <w:p>
      <w:r>
        <w:t>--------------------</w:t>
      </w:r>
    </w:p>
    <w:p>
      <w:r>
        <w:t>The necessity of bilingual education has become a frequent topic of discussion in the context of increasing global interconnectedness. In my opinion, I strongly disagree with disagree. This essay will provide two reasons supporting my idea.</w:t>
        <w:br/>
        <w:br/>
        <w:t>While promoting bilingualism seems beneficial, the primary focus of education should remain on deep subject mastery. In other words, forcing students to juggle two distinct linguistic systems can dilute their academic concentration. For instance, a student might struggle to maintain high proficiency in advanced mathematics while simultaneously mastering a second language. As a result, the time and cognitive energy required for language acquisition detract from core academic subjects. Hence, it becomes evident that a specialized focus on foundational knowledge is more crucial for academic success.</w:t>
        <w:br/>
        <w:br/>
        <w:t>Furthermore, the educational system should prioritize universal foundational skills over linguistic diversity. This is primarily due to the fact that a strong curriculum in core subjects provides a more stable foundation for all learners. This can be exemplified by the fact that a student with excellent scientific knowledge can communicate complex ideas even if their second language skills are limited. The outcome is that the individual remains highly competent in their field, regardless of their linguistic background. This clearly aligns with the view that specialized academic training offers greater utility than broad linguistic exposure.</w:t>
        <w:br/>
        <w:br/>
        <w:t>In conclusion, I strongly disagree with disagree. This is clear from while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