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#456 (c1)</w:t>
      </w:r>
    </w:p>
    <w:p>
      <w:r>
        <w:t xml:space="preserve">Prompt: </w:t>
      </w:r>
    </w:p>
    <w:p>
      <w:r>
        <w:t>--------------------</w:t>
      </w:r>
    </w:p>
    <w:p>
      <w:r>
        <w:t>The notion that modern life moves at an unsustainable speed, negatively impacting mental health, is a widely debated topic. In my opinion, I strongly disagree with disagreeing with the statement. This essay will provide two reasons supporting my idea.</w:t>
        <w:br/>
        <w:br/>
        <w:t>The current pace of life does not inherently compromise mental well-being. In other words, Individuals possess numerous mechanisms to manage demanding schedules. For instance, many people incorporate physical activities, such as jogging or yoga, into their daily routines. As a result, These physical outlets help mitigate the effects of prolonged stress and sedentary habits. Hence, it becomes evident that Consequently, it becomes evident that proactive self-care strategies can maintain a healthy mental state.</w:t>
        <w:br/>
        <w:br/>
        <w:t>Furthermore, modern connectivity offers unprecedented opportunities for social support. This is primarily due to the fact that Technology allows people to maintain relationships across vast distances. This can be exemplified by the fact that how video calls enable families to connect regularly, regardless of geographical separation. The outcome is that strong social bonds provide a crucial buffer against feelings of isolation and emotional distress. This clearly aligns with the view that human connection is a fundamental pillar of wellness.</w:t>
        <w:br/>
        <w:br/>
        <w:t>In conclusion, I strongly disagree that the modern lifestyle is too fast-paced for good mental health. Maintaining proactive self-care strategies and leveraging strong social bonds are key to sustaining human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