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#457 (b2)</w:t>
      </w:r>
    </w:p>
    <w:p>
      <w:r>
        <w:t xml:space="preserve">Prompt: </w:t>
      </w:r>
    </w:p>
    <w:p>
      <w:r>
        <w:t>--------------------</w:t>
      </w:r>
    </w:p>
    <w:p>
      <w:r>
        <w:t>The question of whether the traditional classroom model is outdated is a subject of much debate among educators. In my opinion, I strongly disagree with disagree. This essay will provide two reasons supporting my idea.</w:t>
        <w:br/>
        <w:br/>
        <w:t>The traditional classroom model still provides a solid foundation for students' knowledge. In other words, it gives students a structured environment for learning in everyday life in everyday life in everyday life. For instance, a teacher can guide students through a complex historical event using a textbook. As a result, students gain a clear understanding of the timeline and key figures. Hence, it becomes evident that the structure helps build basic academic skills.</w:t>
        <w:br/>
        <w:br/>
        <w:t>Furthermore, the traditional classroom model helps develop essential social skills. This is primarily due to the fact that students interact with peers and teachers regularly in everyday life in everyday life. This can be exemplified by the fact that group projects require students to share ideas and solve problems together. The outcome is that students learn how to work in a team and respect different views. This clearly aligns with the view that face-to-face interaction is important for growth.</w:t>
        <w:br/>
        <w:br/>
        <w:t>In conclusion, I strongly disagree with disagree. This is clear from traditional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