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(b2)</w:t>
      </w:r>
    </w:p>
    <w:p>
      <w:r>
        <w:t xml:space="preserve">Prompt: </w:t>
      </w:r>
    </w:p>
    <w:p>
      <w:r>
        <w:t>--------------------</w:t>
      </w:r>
    </w:p>
    <w:p>
      <w:r>
        <w:t>The question of whether genetically modified foods are safe for people to eat is a topic of much debate. In my opinion, I strongly disagree with disagreeing with the statement. This essay will provide two reasons supporting my idea.</w:t>
        <w:br/>
        <w:br/>
        <w:t>These foods raise concerns about potential long-term health risks for consumers. In other words, people worry about unknown effects from eating these modified ingredients. For instance, some studies point to possible allergic reactions from the new proteins in the plants. As a result, many people feel that the risks are not fully understood by the public. Hence, it becomes evident that more research is needed before these foods are widely accepted.</w:t>
        <w:br/>
        <w:br/>
        <w:t>Another concern is the impact of these foods on the environment and farming methods. This is primarily due to the fact that the use of these crops can affect local biodiversity. This can be exemplified by the fact that certain modified seeds might reduce the need for some pesticides, but they could harm beneficial insects. The outcome is that farmers might become overly reliant on these specific types of seeds, which is bad for the soil. This clearly aligns with the view that we need better ways to manage our agricultural practices.</w:t>
        <w:br/>
        <w:br/>
        <w:t>In conclusion, I strongly disagree that genetically modified foods are safe for consumption. We must consider the potential health risks from modified ingredients and the negative impact on agricultural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