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#458 (c1)</w:t>
      </w:r>
    </w:p>
    <w:p>
      <w:r>
        <w:t xml:space="preserve">Prompt: </w:t>
      </w:r>
    </w:p>
    <w:p>
      <w:r>
        <w:t>--------------------</w:t>
      </w:r>
    </w:p>
    <w:p>
      <w:r>
        <w:t>The debate surrounding the safety of genetically modified foods remains a significant topic in modern consumer discussions. In my opinion, I strongly agree with agreeing with the statement. This essay will provide two reasons supporting my idea.</w:t>
        <w:br/>
        <w:br/>
        <w:t>These modified foods offer substantial benefits to global food production. In other words, genetic modification allows scientists to enhance crops' resilience against pests and adverse weather conditions. For instance, Bt corn has been engineered to resist certain insects, reducing the need for chemical pesticides. As a result, farmers can achieve higher yields with less environmental damage. Hence, it becomes evident that these advancements bolster agricultural sustainability.</w:t>
        <w:br/>
        <w:br/>
        <w:t>Furthermore, genetically modified crops can improve the nutritional profile of staple foods. This is primarily due to the fact that scientists can introduce beneficial components into crops that were previously lacking. This can be exemplified by the fact that Golden Rice, modified to produce beta-carotene, addresses Vitamin A deficiency in developing nations. The outcome is that populations consume a more balanced and nutrient-rich diet. This clearly aligns with the view that genetic modification is a vital tool for public health.</w:t>
        <w:br/>
        <w:br/>
        <w:t>In conclusion, I strongly agree that genetically modified foods are safe for consumption. The enhanced agricultural sustainability provided by modified foods, alongside the improved nutritional profile, confirms this position.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