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#460 (b2)</w:t>
      </w:r>
    </w:p>
    <w:p>
      <w:r>
        <w:t xml:space="preserve">Prompt: </w:t>
      </w:r>
    </w:p>
    <w:p>
      <w:r>
        <w:t>--------------------</w:t>
      </w:r>
    </w:p>
    <w:p>
      <w:r>
        <w:t>The question of whether electronic payment methods will replace physical money is a topic of much discussion today. In my opinion, I strongly agree with agree. This essay will provide two reasons supporting my idea.</w:t>
        <w:br/>
        <w:br/>
        <w:t>Cashless transactions offer great convenience for people in modern life. In other words, people do not need to carry physical coins or notes when they go shopping. For instance, a customer can pay for groceries using just a card at a local store. As a result, the shopping experience is much faster and simpler for everyone involved. Hence, it becomes evident that electronic payment is becoming a common way to buy things.</w:t>
        <w:br/>
        <w:br/>
        <w:t>Digital money makes global trade much easier for businesses. This is primarily due to the fact that banks can process payments across many different countries. This can be exemplified by the fact that an online seller can receive money from a buyer in another continent. The outcome is that businesses can grow their reach without needing physical branches everywhere. This clearly aligns with the view that cashless systems support global commerce.</w:t>
        <w:br/>
        <w:br/>
        <w:t>In conclusion, I strongly agree that electronic payment methods will replace physical money. The convenience of cashless transactions and the support for global commerce show that digital money is the future of buying and selling.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