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#460 (b2)</w:t>
      </w:r>
    </w:p>
    <w:p>
      <w:r>
        <w:t xml:space="preserve">Prompt: </w:t>
      </w:r>
    </w:p>
    <w:p>
      <w:r>
        <w:t>--------------------</w:t>
      </w:r>
    </w:p>
    <w:p>
      <w:r>
        <w:t>The idea that electronic payment methods will completely replace physical money is a topic of much discussion today. In my opinion, I strongly disagree with disagree. This essay will provide two reasons supporting my idea.</w:t>
        <w:br/>
        <w:br/>
        <w:t>Cashless transactions offer great convenience for people in modern life. In other words, This is because carrying physical cash can be difficult and unsafe for many people. For instance, A practical example is a person shopping at a busy local market might find it hard to carry enough coins and notes. As a result, Using a card or phone payment makes the buying and selling process much easier. Hence, it becomes evident that This result supports the view that many people prefer the ease of digital payment.</w:t>
        <w:br/>
        <w:br/>
        <w:t>Traditional money still holds important roles in our economy. This is primarily due to the fact that This is mainly because many small shops do not have the technology to accept electronic payment. This can be exemplified by the fact that A practical example is a small street vendor might only accept physical cash for their goods. The outcome is that these local businesses lose sales if they cannot take cash. This clearly aligns with the view that This clearly supports the view that physical money is useful for many small merchants.</w:t>
        <w:br/>
        <w:br/>
        <w:t>In conclusion, I strongly disagree that cashless transactions will replace traditional money. While digital payment offers convenience, the continued need for physical cash, especially for small merchants, shows that both forms of money will remain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