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#460 (c1)</w:t>
      </w:r>
    </w:p>
    <w:p>
      <w:r>
        <w:t xml:space="preserve">Prompt: </w:t>
      </w:r>
    </w:p>
    <w:p>
      <w:r>
        <w:t>--------------------</w:t>
      </w:r>
    </w:p>
    <w:p>
      <w:r>
        <w:t>The increasing adoption of electronic payment methods suggests a significant shift away from traditional physical currency. In my opinion, I strongly agree with agree. This essay will provide two reasons supporting my idea.</w:t>
        <w:br/>
        <w:br/>
        <w:t>A primary reason for this transition is the unparalleled convenience offered by digital transactions. In other words, cashless systems allow individuals to complete purchases without needing physical cash. For instance, a shopper can pay for groceries using a mobile payment app at a local store. As a result, the time spent counting change or seeking ATMs is eliminated entirely. Hence, it becomes evident that the efficiency of digital payment methods greatly enhances the consumer experience.</w:t>
        <w:br/>
        <w:br/>
        <w:t>Another compelling factor is the enhanced security and traceability provided by electronic payment systems. This is primarily due to the fact that digital records create an auditable trail for every transaction. This can be exemplified by the fact that credit card usage minimizes the risk associated with carrying large amounts of physical money. The outcome is that merchants and consumers alike benefit from a more secure financial environment. This clearly aligns with the view that cashless transactions are superior for maintaining financial integrity.</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