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#460 (c1)</w:t>
      </w:r>
    </w:p>
    <w:p>
      <w:r>
        <w:t xml:space="preserve">Prompt: </w:t>
      </w:r>
    </w:p>
    <w:p>
      <w:r>
        <w:t>--------------------</w:t>
      </w:r>
    </w:p>
    <w:p>
      <w:r>
        <w:t>The increasing adoption of electronic payment methods has led many to question whether traditional physical money will eventually become obsolete. In my opinion, I strongly disagree with disagree. This essay will provide two reasons supporting my idea.</w:t>
        <w:br/>
        <w:br/>
        <w:t>Physical currency remains fundamentally important for maintaining economic stability in local markets. In other words, many small businesses and vendors still prefer handling physical cash transactions. For instance, a street vendor selling produce at a local market might not possess reliable internet access or a compatible card reader. As a result, these merchants cannot process payments when digital infrastructure fails or is unavailable. Hence, it becomes evident that physical cash retains significant utility for diverse economic settings.</w:t>
        <w:br/>
        <w:br/>
        <w:t>Furthermore, a complete shift away from physical money overlooks the necessity of financial inclusion for all demographics. This is primarily due to the fact that many elderly individuals or low-income populations lack access to necessary technology or bank accounts. This can be exemplified by the fact that rural communities might lack the necessary infrastructure for consistent digital payment processing. The outcome is that these groups become financially marginalized, unable to participate fully in the modern economy. This clearly aligns with the view that physical cash serves as a crucial safety net for vulnerable populations.</w:t>
        <w:br/>
        <w:br/>
        <w:t>In conclusion, I strongly disagree with disagree. This is clear from physical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