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#462 (c1)</w:t>
      </w:r>
    </w:p>
    <w:p>
      <w:r>
        <w:t xml:space="preserve">Prompt: </w:t>
      </w:r>
    </w:p>
    <w:p>
      <w:r>
        <w:t>--------------------</w:t>
      </w:r>
    </w:p>
    <w:p>
      <w:r>
        <w:t>The debate surrounding the incorporation of mindfulness practices into educational curricula is quite prominent. In my opinion, I strongly disagree with disagreeing with the statement. This essay will provide two reasons supporting my idea.</w:t>
        <w:br/>
        <w:br/>
        <w:t>Such integration might detract from core academic subjects, which require substantial instructional time. In other words, the existing curriculum is already densely packed with essential material that needs coverage. For instance, allocating time for meditation sessions could reduce the hours available for advanced mathematics or literature analysis. As a result, students might receive a less comprehensive education across crucial disciplines. Hence, it becomes evident that academic rigor should remain the primary focus of schooling.</w:t>
        <w:br/>
        <w:br/>
        <w:t>Mandating these practices could disproportionately affect students with diverse learning needs. This is primarily due to the fact that some students may find guided meditation challenging or even distressing. This can be exemplified by the fact that individuals with severe anxiety disorders might experience heightened discomfort in a group setting. The outcome is that the intervention could inadvertently cause emotional distress rather than promoting well-being. This clearly aligns with the view that specialized support is necessary for such sensitive adjustments.</w:t>
        <w:br/>
        <w:br/>
        <w:t>In conclusion, I strongly disagree with the statement that mindfulness practices should be integrated into educational curricula. Maintaining academic rigor is paramount, and specialized support is a more appropriate method for addressing student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