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#463 (b2)</w:t>
      </w:r>
    </w:p>
    <w:p>
      <w:r>
        <w:t xml:space="preserve">Prompt: </w:t>
      </w:r>
    </w:p>
    <w:p>
      <w:r>
        <w:t>--------------------</w:t>
      </w:r>
    </w:p>
    <w:p>
      <w:r>
        <w:t>The discussion about using new materials to lessen plastic pollution is a very important topic today. In my opinion, I strongly disagree with disagree. This essay will provide two reasons supporting my idea.</w:t>
        <w:br/>
        <w:br/>
        <w:t>These materials are often promoted as a key solution for reducing plastic waste. In other words, One clear advantage is that some of these new materials can break down in soil, unlike regular plastic. For instance, A practical example is that certain types of materials can decompose naturally when exposed to moisture. As a result, This result supports the view that they cause less long-term pollution in the environment. Hence, it becomes evident that This shows that they offer some help to the problem.</w:t>
        <w:br/>
        <w:br/>
        <w:t>These materials still have many issues regarding their disposal and overall impact. This is primarily due to the fact that many facilities cannot process them correctly. This can be exemplified by the fact that A practical example is that proper composting requires specific high temperatures and conditions to work. The outcome is that if they end up in landfills, they may not break down quickly. This clearly aligns with the view that we need better systems for managing waste.</w:t>
        <w:br/>
        <w:br/>
        <w:t>In conclusion, I strongly disagree that these new materials are a complete solution. While they aim to reduce waste, the issues with their disposal and the need for better systems mean they are not enough on their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