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#464 (b2)</w:t>
      </w:r>
    </w:p>
    <w:p>
      <w:r>
        <w:t xml:space="preserve">Prompt: </w:t>
      </w:r>
    </w:p>
    <w:p>
      <w:r>
        <w:t>--------------------</w:t>
      </w:r>
    </w:p>
    <w:p>
      <w:r>
        <w:t>Artificial lighting at night can have a significant effect on the natural lives of various wild animals. In my opinion, I strongly agree with agreeing with the statement. This essay will provide two reasons supporting my idea.</w:t>
        <w:br/>
        <w:br/>
        <w:t>Artificial lights greatly change the natural environment for wildlife. In other words, these bright lights confuse animals that rely on natural darkness. For instance, many migratory birds use the moon and stars to guide their journey. As a result, the birds become drawn to the bright lights, which can cause them to crash into buildings. Hence, it becomes evident that artificial lights pose a serious threat to animal safety.</w:t>
        <w:br/>
        <w:br/>
        <w:t>Artificial lighting also changes the way animals find food and find mates. This is primarily due to the fact that the artificial glow changes the natural patterns of life. This can be exemplified by the fact that nocturnal insects, which are important food sources, are attracted to the lights. The outcome is that their natural movement and feeding patterns are greatly reduced. This clearly aligns with the view that artificial lights affect the survival of many species.</w:t>
        <w:br/>
        <w:br/>
        <w:t>In conclusion, I strongly agree that artificial lights negatively impact wildlife. The changes in the natural environment and the disruption of feeding patterns show this serious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