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#464 (c1)</w:t>
      </w:r>
    </w:p>
    <w:p>
      <w:r>
        <w:t xml:space="preserve">Prompt: </w:t>
      </w:r>
    </w:p>
    <w:p>
      <w:r>
        <w:t>--------------------</w:t>
      </w:r>
    </w:p>
    <w:p>
      <w:r>
        <w:t>The influence of artificial illumination on various forms of wildlife is a subject of considerable academic debate. In my opinion, I strongly disagree with disagreeing with the statement. This essay will provide two reasons supporting my idea.</w:t>
        <w:br/>
        <w:br/>
        <w:t>Artificial lighting does not inherently pose a detrimental threat to all wildlife populations. In other words, many species have evolved mechanisms to cope with altered light environments. For instance, some nocturnal creatures have adapted their foraging behaviour to utilize artificial glow sources. As a result, these light sources can provide unexpected supplementary resources for certain animals. Hence, it becomes evident that the impact is highly variable and context-dependent.</w:t>
        <w:br/>
        <w:br/>
        <w:t>Furthermore, artificial lighting can facilitate human-wildlife coexistence by improving visibility for conservation efforts. This is primarily due to the fact that better illumination allows researchers to monitor animal movements more effectively. This can be exemplified by the fact that trail cameras and night vision equipment gather crucial data on species distribution. The outcome is that conservationists can pinpoint areas needing immediate protection and intervention. This clearly aligns with the view that technology aids in effective wildlife management.</w:t>
        <w:br/>
        <w:br/>
        <w:t>In conclusion, I strongly disagree with the notion that artificial lighting is universally harmful; instead, the evidence suggests that the impact is highly variable and that technology aids in effective wildlife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