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#466 (c1)</w:t>
      </w:r>
    </w:p>
    <w:p>
      <w:r>
        <w:t xml:space="preserve">Prompt: </w:t>
      </w:r>
    </w:p>
    <w:p>
      <w:r>
        <w:t>--------------------</w:t>
      </w:r>
    </w:p>
    <w:p>
      <w:r>
        <w:t>The integration of artificial intelligence into the educational sector has generated considerable discussion regarding its overall efficacy. In my opinion, I strongly disagree with disagree. This essay will provide two reasons supporting my idea.</w:t>
        <w:br/>
        <w:br/>
        <w:t>AI tools offer certain efficiencies in content delivery and assessment tools. In other words, these technologies can automate routine grading and provide immediate feedback to students. For instance, an AI-powered quiz platform can grade multiple-choice tests instantly, allowing students to review their mistakes immediately. As a result, teachers gain valuable time that can be redirected toward individualized student interaction. Hence, it becomes evident that AI merely assists with logistical tasks, rather than enhancing core pedagogical skills.</w:t>
        <w:br/>
        <w:br/>
        <w:t>AI cannot replace the nuanced human element required for effective teaching. This is primarily due to the fact that genuine mentorship requires emotional intelligence and empathy. This can be exemplified by the fact that a human teacher can recognize signs of emotional distress or confusion that an algorithm would miss. The outcome is that the crucial development of soft skills, such as critical thinking and emotional regulation, remains deeply human. This clearly aligns with the view that human connection is irreplaceable in the learning process.</w:t>
        <w:br/>
        <w:br/>
        <w:t>In conclusion, I strongly disagree with disagree. This is clear from tools and replace.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