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#467 (c1)</w:t>
      </w:r>
    </w:p>
    <w:p>
      <w:r>
        <w:t xml:space="preserve">Prompt: </w:t>
      </w:r>
    </w:p>
    <w:p>
      <w:r>
        <w:t>--------------------</w:t>
      </w:r>
    </w:p>
    <w:p>
      <w:r>
        <w:t>The discussion surrounding the exorbitant salaries of professional athletes often sparks considerable debate regarding their economic justification. In my opinion, I strongly disagree with disagreeing with the statement. This essay will provide two reasons supporting my idea.</w:t>
        <w:br/>
        <w:br/>
        <w:t>High athletic compensation reflects the immense global entertainment value generated by elite sports. In other words, these athletes represent major commercial assets for various industries. For instance, the revenue generated from ticket sales and broadcasting rights for major sporting events is astronomical. As a result, the market is willing to pay substantial sums to attract and retain top talent. Hence, it becomes evident that financial rewards are dictated by market demand, not merely intrinsic worth.</w:t>
        <w:br/>
        <w:br/>
        <w:t>Furthermore, substantial salaries contribute significantly to the economic vitality of local communities. This is primarily due to the fact that professional sports teams draw large crowds and associated spending. This can be exemplified by the fact that local hotels, restaurants, and transport services experience a massive boost during game days. The outcome is that the entire local economy benefits from the presence of successful teams. This clearly aligns with the view that athletic compensation supports broader economic stability.</w:t>
        <w:br/>
        <w:br/>
        <w:t>In conclusion, I strongly disagree with the notion that high salaries are unjustified; rather, the immense global entertainment value and the positive impact on local economies justify these substantial payments.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